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BE6B">
      <w:pPr>
        <w:ind w:firstLine="0" w:firstLineChars="0"/>
        <w:jc w:val="center"/>
        <w:rPr>
          <w:rFonts w:ascii="黑体" w:hAnsi="黑体" w:eastAsia="黑体" w:cs="黑体"/>
          <w:sz w:val="32"/>
          <w:szCs w:val="32"/>
        </w:rPr>
      </w:pPr>
      <w:r>
        <w:rPr>
          <w:rFonts w:hint="eastAsia" w:ascii="黑体" w:hAnsi="黑体" w:eastAsia="黑体" w:cs="黑体"/>
          <w:sz w:val="32"/>
          <w:szCs w:val="32"/>
        </w:rPr>
        <w:t>北京市卫生健康大数据与政策研究中心</w:t>
      </w:r>
    </w:p>
    <w:p w14:paraId="7F2EA4ED">
      <w:pPr>
        <w:ind w:firstLine="0" w:firstLineChars="0"/>
        <w:jc w:val="center"/>
        <w:rPr>
          <w:rFonts w:ascii="黑体" w:hAnsi="黑体" w:eastAsia="黑体" w:cs="黑体"/>
          <w:sz w:val="32"/>
          <w:szCs w:val="32"/>
        </w:rPr>
      </w:pPr>
      <w:r>
        <w:rPr>
          <w:rFonts w:hint="eastAsia" w:ascii="黑体" w:hAnsi="黑体" w:eastAsia="黑体" w:cs="黑体"/>
          <w:sz w:val="32"/>
          <w:szCs w:val="32"/>
        </w:rPr>
        <w:t>北京市医院安全保卫信息平台运维项目2026年度遴选公告</w:t>
      </w:r>
    </w:p>
    <w:p w14:paraId="3726A265">
      <w:pPr>
        <w:ind w:firstLine="560"/>
      </w:pPr>
      <w:r>
        <w:rPr>
          <w:rFonts w:hint="eastAsia"/>
        </w:rPr>
        <w:t>为贯彻落实《北京市医院安全秩序管理规定》相关要求，适应新技术发展趋势，提升北京市卫生健康大数据与政策研究中心（以下简称“中心”）</w:t>
      </w:r>
      <w:bookmarkStart w:id="0" w:name="_GoBack"/>
      <w:bookmarkEnd w:id="0"/>
      <w:r>
        <w:rPr>
          <w:rFonts w:hint="eastAsia"/>
        </w:rPr>
        <w:t>北京市医院安全保卫信息平台（以下简称“平台”）的运维保障能力，确保其作为独立系统后的稳定、高效运行，以进一步规范北京市卫生健康统筹工作，提高工作质效，提升公众满意度。现面向社会公开遴选2026年度北京市卫生健康大数据与政策研究中心北京市医院安全保卫信息平台运维项目的承担单位，有关事项公告如下：</w:t>
      </w:r>
    </w:p>
    <w:p w14:paraId="772F81E8">
      <w:pPr>
        <w:ind w:firstLine="560"/>
      </w:pPr>
      <w:r>
        <w:rPr>
          <w:rFonts w:hint="eastAsia"/>
        </w:rPr>
        <w:t xml:space="preserve">一、委托单位 </w:t>
      </w:r>
    </w:p>
    <w:p w14:paraId="37BA9720">
      <w:pPr>
        <w:ind w:firstLine="560"/>
      </w:pPr>
      <w:r>
        <w:rPr>
          <w:rFonts w:hint="eastAsia"/>
        </w:rPr>
        <w:t xml:space="preserve">北京市卫生健康大数据与政策研究中心 </w:t>
      </w:r>
    </w:p>
    <w:p w14:paraId="02BAB99D">
      <w:pPr>
        <w:ind w:firstLine="560"/>
      </w:pPr>
      <w:r>
        <w:rPr>
          <w:rFonts w:hint="eastAsia"/>
        </w:rPr>
        <w:t xml:space="preserve">二、工作任务 </w:t>
      </w:r>
    </w:p>
    <w:p w14:paraId="75DEE06E">
      <w:pPr>
        <w:ind w:firstLine="560"/>
      </w:pPr>
      <w:r>
        <w:rPr>
          <w:rFonts w:hint="eastAsia"/>
        </w:rPr>
        <w:t xml:space="preserve">（一）项目总体目标 </w:t>
      </w:r>
    </w:p>
    <w:p w14:paraId="45E208B3">
      <w:pPr>
        <w:ind w:firstLine="560"/>
      </w:pPr>
      <w:r>
        <w:rPr>
          <w:rFonts w:hint="eastAsia"/>
        </w:rPr>
        <w:t>为确保北京市医院安全保卫信息平台独立运行后能够稳定、高效地支撑全市医院安全秩序管理，并进一步规范卫生健康统筹工作、提升工作质效和公众满意度，本项目通过专业化运维服务，对平台软硬件环境、应用系统及数据接口进行全方位监控与维护，建立健全保障与应急机制，提供包括故障排查、远程与现场支持、基础环境运维和数据传输维护等在内的综合服务能力，全面落实《北京市医院安全秩序管理规定》及相关要求，从而有效提升卫生健康统筹管理效能和应急处置能力。</w:t>
      </w:r>
    </w:p>
    <w:p w14:paraId="007C60D7">
      <w:pPr>
        <w:ind w:firstLine="560"/>
      </w:pPr>
      <w:r>
        <w:rPr>
          <w:rFonts w:hint="eastAsia"/>
        </w:rPr>
        <w:t xml:space="preserve">（二）运维服务内容 </w:t>
      </w:r>
    </w:p>
    <w:p w14:paraId="0FCC19A0">
      <w:pPr>
        <w:ind w:firstLine="560"/>
        <w:rPr>
          <w:rFonts w:hint="eastAsia"/>
        </w:rPr>
      </w:pPr>
      <w:r>
        <w:rPr>
          <w:rFonts w:hint="eastAsia"/>
        </w:rPr>
        <w:t xml:space="preserve">项目执行期间内，全面保障北京市卫生健康大数据与政策研究中心北京市医院安全保卫信息平台正常运行，具体工作包括： </w:t>
      </w:r>
    </w:p>
    <w:p w14:paraId="002A2C76">
      <w:pPr>
        <w:rPr>
          <w:rFonts w:hint="default" w:eastAsia="宋体"/>
          <w:lang w:val="en-US" w:eastAsia="zh-CN"/>
        </w:rPr>
      </w:pPr>
      <w:r>
        <w:rPr>
          <w:rFonts w:hint="eastAsia"/>
          <w:lang w:val="en-US" w:eastAsia="zh-CN"/>
        </w:rPr>
        <w:t>1.软件运维：</w:t>
      </w:r>
      <w:r>
        <w:rPr>
          <w:rFonts w:hint="eastAsia"/>
        </w:rPr>
        <w:t>确保平台稳定运行，须至少配备2名软件工程师及1名实施工程师，负责系统故障修复与升级部署；软件保证期内所有维护及合同范围内版本升级均免费，并对任何已发现或潜在缺陷及时予以修复。</w:t>
      </w:r>
    </w:p>
    <w:p w14:paraId="7BE47E94">
      <w:pPr>
        <w:ind w:firstLine="560"/>
      </w:pPr>
      <w:r>
        <w:rPr>
          <w:rFonts w:hint="eastAsia"/>
          <w:lang w:val="en-US" w:eastAsia="zh-CN"/>
        </w:rPr>
        <w:t>2</w:t>
      </w:r>
      <w:r>
        <w:rPr>
          <w:rFonts w:hint="eastAsia"/>
        </w:rPr>
        <w:t>.</w:t>
      </w:r>
      <w:r>
        <w:rPr>
          <w:rFonts w:hint="eastAsia"/>
          <w:lang w:eastAsia="zh-CN"/>
        </w:rPr>
        <w:t>应急响应</w:t>
      </w:r>
      <w:r>
        <w:rPr>
          <w:rFonts w:hint="eastAsia"/>
        </w:rPr>
        <w:t>：提供5×8小时日常技术支持与7×24小时应急保障，并承诺故障无法远程解决时2小时内派遣高级技术人员现场处置；</w:t>
      </w:r>
    </w:p>
    <w:p w14:paraId="6E27F9F5">
      <w:pPr>
        <w:ind w:firstLine="560"/>
      </w:pPr>
      <w:r>
        <w:rPr>
          <w:rFonts w:hint="eastAsia"/>
          <w:lang w:val="en-US" w:eastAsia="zh-CN"/>
        </w:rPr>
        <w:t>3</w:t>
      </w:r>
      <w:r>
        <w:rPr>
          <w:rFonts w:hint="eastAsia"/>
        </w:rPr>
        <w:t>.</w:t>
      </w:r>
      <w:r>
        <w:rPr>
          <w:rFonts w:hint="eastAsia"/>
          <w:lang w:eastAsia="zh-CN"/>
        </w:rPr>
        <w:t>用户支持服务</w:t>
      </w:r>
      <w:r>
        <w:rPr>
          <w:rFonts w:hint="eastAsia"/>
          <w:lang w:val="en-US" w:eastAsia="zh-CN"/>
        </w:rPr>
        <w:t>*（</w:t>
      </w:r>
      <w:r>
        <w:rPr>
          <w:rFonts w:hint="eastAsia"/>
        </w:rPr>
        <w:t>远程、现场支持</w:t>
      </w:r>
      <w:r>
        <w:rPr>
          <w:rFonts w:hint="eastAsia"/>
          <w:lang w:val="en-US" w:eastAsia="zh-CN"/>
        </w:rPr>
        <w:t>）</w:t>
      </w:r>
      <w:r>
        <w:rPr>
          <w:rFonts w:hint="eastAsia"/>
        </w:rPr>
        <w:t>：须提供基于电话及在线渠道的7×24小时远程支持服务，并配备专人负责热线响应与问题初步排查；简单问题即时解决，复杂问题记录后告知预计处理时间，经用户授权可通过远程登录方式协助处理；若远程无法解决，应在约定时间内派遣技术人员现场处置，并协调相关设备厂商协同处理，确保问题闭环解决。</w:t>
      </w:r>
    </w:p>
    <w:p w14:paraId="699DFF21">
      <w:pPr>
        <w:ind w:firstLine="560"/>
      </w:pPr>
      <w:r>
        <w:rPr>
          <w:rFonts w:hint="eastAsia"/>
          <w:lang w:val="en-US" w:eastAsia="zh-CN"/>
        </w:rPr>
        <w:t>4</w:t>
      </w:r>
      <w:r>
        <w:rPr>
          <w:rFonts w:hint="eastAsia"/>
        </w:rPr>
        <w:t>.</w:t>
      </w:r>
      <w:r>
        <w:rPr>
          <w:rFonts w:hint="eastAsia"/>
          <w:lang w:eastAsia="zh-CN"/>
        </w:rPr>
        <w:t>定期巡检</w:t>
      </w:r>
      <w:r>
        <w:rPr>
          <w:rFonts w:hint="eastAsia"/>
        </w:rPr>
        <w:t>：</w:t>
      </w:r>
      <w:r>
        <w:t>须提供涵盖基础环境巡检、资源优化与扩容、系统安全运维在内的全方位运维保障服务，具体包括：每周安排工程师开展不少于一个工作日的基础环境巡检，内容涉及系统软件运行状态、云服务环境安全及硬件设备性能的全面监测与隐患排除；建立系统资源动态评估机制，协同云服务商根据业务需求实施资源配置优化与弹性扩容；同时配备专职安全运维人员，定期开展漏洞扫描、风险评估与安全加固，确保系统持续符合网络安全要求。所有运维工作须遵循标准化流程，实行闭环管理，并定期提交运维报告，以保障平台长期稳定可靠运行。</w:t>
      </w:r>
    </w:p>
    <w:p w14:paraId="72D08C09">
      <w:pPr>
        <w:ind w:firstLine="560"/>
      </w:pPr>
      <w:r>
        <w:rPr>
          <w:rFonts w:hint="eastAsia"/>
        </w:rPr>
        <w:t xml:space="preserve">（三）服务地点 </w:t>
      </w:r>
    </w:p>
    <w:p w14:paraId="6A534607">
      <w:pPr>
        <w:ind w:firstLine="560"/>
      </w:pPr>
      <w:r>
        <w:rPr>
          <w:rFonts w:hint="eastAsia"/>
        </w:rPr>
        <w:t xml:space="preserve">委托方指定的服务地点。 </w:t>
      </w:r>
    </w:p>
    <w:p w14:paraId="3290CC3D">
      <w:pPr>
        <w:ind w:firstLine="560"/>
      </w:pPr>
      <w:r>
        <w:rPr>
          <w:rFonts w:hint="eastAsia"/>
        </w:rPr>
        <w:t xml:space="preserve">（四）运维周期 </w:t>
      </w:r>
    </w:p>
    <w:p w14:paraId="39167903">
      <w:pPr>
        <w:ind w:firstLine="560"/>
      </w:pPr>
      <w:r>
        <w:rPr>
          <w:rFonts w:hint="eastAsia"/>
        </w:rPr>
        <w:t xml:space="preserve">12个月。 </w:t>
      </w:r>
    </w:p>
    <w:p w14:paraId="221638AE">
      <w:pPr>
        <w:ind w:firstLine="560"/>
      </w:pPr>
      <w:r>
        <w:rPr>
          <w:rFonts w:hint="eastAsia"/>
        </w:rPr>
        <w:t xml:space="preserve">三、具体要求 </w:t>
      </w:r>
    </w:p>
    <w:p w14:paraId="706E2131">
      <w:pPr>
        <w:ind w:firstLine="560"/>
      </w:pPr>
      <w:r>
        <w:rPr>
          <w:rFonts w:hint="eastAsia"/>
        </w:rPr>
        <w:t xml:space="preserve">（一）承担单位需具备 </w:t>
      </w:r>
    </w:p>
    <w:p w14:paraId="77B0D72F">
      <w:pPr>
        <w:ind w:firstLine="560"/>
      </w:pPr>
      <w:r>
        <w:rPr>
          <w:rFonts w:hint="eastAsia"/>
        </w:rPr>
        <w:t xml:space="preserve">在中华人民共和国境内注册，具有独立承担民事责任的能力和经营许可的法人。承担方能提供2024年1月至今任意一个月社保缴纳证明和依法纳税证明，承担方在参加本次遴选活动前三年中没有重大违法记录，承担方不得被列入失信被执行人、重大税收违法案件当事人名单、政府采购严重违法失信行为记录名单，否则承担方的响应文件将被拒绝，单位负责人为同一人或者存在直接控股、管理关系的不同承担方， 不得同时参加同一合同下的采购活动，承担方需提供主要股东或出资人信息，与承担方存在控股、管理等关联关系信息（格式见附件）。 </w:t>
      </w:r>
    </w:p>
    <w:p w14:paraId="05E318B8">
      <w:pPr>
        <w:ind w:firstLine="560"/>
      </w:pPr>
      <w:r>
        <w:rPr>
          <w:rFonts w:hint="eastAsia"/>
        </w:rPr>
        <w:t xml:space="preserve">（二）人力保障 </w:t>
      </w:r>
    </w:p>
    <w:p w14:paraId="08029451">
      <w:pPr>
        <w:ind w:firstLine="560"/>
      </w:pPr>
      <w:r>
        <w:rPr>
          <w:rFonts w:hint="eastAsia"/>
        </w:rPr>
        <w:t xml:space="preserve">承担单位组建稳定的、专业的服务团队，负责本项目运维服务工作。服务团队人员必须具备良好的技术能力和业务能力以及丰富的项目经验，熟悉北京市医院安全保卫信息平台平台，精通相关软件，熟悉委托方工作流程。服务团队人员应具有不低于2年的北京市医院安全保卫信息平台运维工作经验。运维服务团队要严格遵守用户方的各项规章制度和管理规定，爱岗敬业，能够与客户进行很好的沟通，具有很强的工作责任心和客户服务意识。 </w:t>
      </w:r>
    </w:p>
    <w:p w14:paraId="6962A5FE">
      <w:pPr>
        <w:ind w:firstLine="560"/>
      </w:pPr>
      <w:r>
        <w:rPr>
          <w:rFonts w:hint="eastAsia"/>
        </w:rPr>
        <w:t xml:space="preserve">（三）服务保障 </w:t>
      </w:r>
    </w:p>
    <w:p w14:paraId="74F17A9A">
      <w:pPr>
        <w:ind w:firstLine="560"/>
      </w:pPr>
      <w:r>
        <w:rPr>
          <w:rFonts w:hint="eastAsia"/>
        </w:rPr>
        <w:t xml:space="preserve">1.根据实际情况运维北京市医院安全保卫信息平台内容及平台，有固定的运维人员进行日常的电话、网络或上门服务等形式的技术支持，以确保北京市医院安全保卫信息平台的正常运行； </w:t>
      </w:r>
    </w:p>
    <w:p w14:paraId="25CAC491">
      <w:pPr>
        <w:ind w:firstLine="560"/>
      </w:pPr>
      <w:r>
        <w:rPr>
          <w:rFonts w:hint="eastAsia"/>
        </w:rPr>
        <w:t xml:space="preserve">2.在发现平台故障或其他问题时，应在短时间内向委托方用户作出充分的汇报沟通，提出解决方案，在得到委托方认可后争取第一时间处理问题，保障北京市医院安全保卫信息平台平稳运行； </w:t>
      </w:r>
    </w:p>
    <w:p w14:paraId="570F1713">
      <w:pPr>
        <w:ind w:firstLine="560"/>
      </w:pPr>
      <w:r>
        <w:rPr>
          <w:rFonts w:hint="eastAsia"/>
        </w:rPr>
        <w:t xml:space="preserve">3.承担单位应配合委托方参加运维例会，按季度提交季度运维审核材料。 </w:t>
      </w:r>
    </w:p>
    <w:p w14:paraId="78C80DE1">
      <w:pPr>
        <w:ind w:firstLine="560"/>
      </w:pPr>
      <w:r>
        <w:rPr>
          <w:rFonts w:hint="eastAsia"/>
        </w:rPr>
        <w:t xml:space="preserve">四、申报和评审事宜 </w:t>
      </w:r>
    </w:p>
    <w:p w14:paraId="66D37A63">
      <w:pPr>
        <w:ind w:firstLine="560"/>
        <w:rPr>
          <w:rFonts w:hint="eastAsia"/>
          <w:highlight w:val="none"/>
        </w:rPr>
      </w:pPr>
      <w:r>
        <w:rPr>
          <w:rFonts w:hint="eastAsia"/>
        </w:rPr>
        <w:t>（一）申报期限</w:t>
      </w:r>
      <w:r>
        <w:rPr>
          <w:rFonts w:hint="eastAsia"/>
          <w:highlight w:val="none"/>
        </w:rPr>
        <w:t>：2026年</w:t>
      </w:r>
      <w:r>
        <w:rPr>
          <w:rFonts w:hint="eastAsia"/>
          <w:highlight w:val="none"/>
          <w:lang w:val="en-US" w:eastAsia="zh-CN"/>
        </w:rPr>
        <w:t>4</w:t>
      </w:r>
      <w:r>
        <w:rPr>
          <w:rFonts w:hint="eastAsia"/>
          <w:highlight w:val="none"/>
        </w:rPr>
        <w:t>月</w:t>
      </w:r>
      <w:r>
        <w:rPr>
          <w:rFonts w:hint="eastAsia"/>
          <w:highlight w:val="none"/>
          <w:lang w:val="en-US" w:eastAsia="zh-CN"/>
        </w:rPr>
        <w:t>3</w:t>
      </w:r>
      <w:r>
        <w:rPr>
          <w:rFonts w:hint="eastAsia"/>
          <w:highlight w:val="none"/>
        </w:rPr>
        <w:t>日—2026年</w:t>
      </w:r>
      <w:r>
        <w:rPr>
          <w:rFonts w:hint="eastAsia"/>
          <w:highlight w:val="none"/>
          <w:lang w:val="en-US" w:eastAsia="zh-CN"/>
        </w:rPr>
        <w:t>4</w:t>
      </w:r>
      <w:r>
        <w:rPr>
          <w:rFonts w:hint="eastAsia"/>
          <w:highlight w:val="none"/>
        </w:rPr>
        <w:t>月</w:t>
      </w:r>
      <w:r>
        <w:rPr>
          <w:rFonts w:hint="eastAsia"/>
          <w:highlight w:val="none"/>
          <w:lang w:val="en-US" w:eastAsia="zh-CN"/>
        </w:rPr>
        <w:t>9</w:t>
      </w:r>
      <w:r>
        <w:rPr>
          <w:rFonts w:hint="eastAsia"/>
          <w:highlight w:val="none"/>
        </w:rPr>
        <w:t xml:space="preserve">日。 </w:t>
      </w:r>
    </w:p>
    <w:p w14:paraId="533789C5">
      <w:pPr>
        <w:ind w:firstLine="560"/>
        <w:rPr>
          <w:rFonts w:hint="eastAsia"/>
          <w:highlight w:val="none"/>
        </w:rPr>
      </w:pPr>
      <w:r>
        <w:rPr>
          <w:rFonts w:hint="eastAsia"/>
          <w:highlight w:val="none"/>
        </w:rPr>
        <w:t>（二）下载材料：申请单位可登录北京市卫生健康委员会网站（</w:t>
      </w:r>
      <w:r>
        <w:rPr>
          <w:rFonts w:hint="eastAsia"/>
          <w:highlight w:val="none"/>
        </w:rPr>
        <w:fldChar w:fldCharType="begin"/>
      </w:r>
      <w:r>
        <w:rPr>
          <w:rFonts w:hint="eastAsia"/>
          <w:highlight w:val="none"/>
        </w:rPr>
        <w:instrText xml:space="preserve"> HYPERLINK "https://wjw.beijing.gov.cn/" </w:instrText>
      </w:r>
      <w:r>
        <w:rPr>
          <w:rFonts w:hint="eastAsia"/>
          <w:highlight w:val="none"/>
        </w:rPr>
        <w:fldChar w:fldCharType="separate"/>
      </w:r>
      <w:r>
        <w:rPr>
          <w:rFonts w:hint="eastAsia"/>
          <w:highlight w:val="none"/>
        </w:rPr>
        <w:t>https://wjw.beijing.gov.cn/</w:t>
      </w:r>
      <w:r>
        <w:rPr>
          <w:rFonts w:hint="eastAsia"/>
          <w:highlight w:val="none"/>
        </w:rPr>
        <w:fldChar w:fldCharType="end"/>
      </w:r>
      <w:r>
        <w:rPr>
          <w:rFonts w:hint="eastAsia"/>
          <w:highlight w:val="none"/>
        </w:rPr>
        <w:t>）或北京市卫生健康大数据与政策研究中心网站（http://www.phic.org.cn/）下载《采购项目承办申请书》、《投标供应商之间应不存在控股、管理等关联关系的书面声明》、《主要股东或出资人信息表》。</w:t>
      </w:r>
    </w:p>
    <w:p w14:paraId="45523E99">
      <w:pPr>
        <w:ind w:firstLine="560"/>
        <w:rPr>
          <w:highlight w:val="none"/>
        </w:rPr>
      </w:pPr>
      <w:r>
        <w:rPr>
          <w:rFonts w:hint="eastAsia"/>
          <w:highlight w:val="none"/>
        </w:rPr>
        <w:t>（</w:t>
      </w:r>
      <w:r>
        <w:rPr>
          <w:rFonts w:hint="eastAsia"/>
          <w:highlight w:val="none"/>
          <w:lang w:eastAsia="zh-CN"/>
        </w:rPr>
        <w:t>三</w:t>
      </w:r>
      <w:r>
        <w:rPr>
          <w:rFonts w:hint="eastAsia"/>
          <w:highlight w:val="none"/>
        </w:rPr>
        <w:t xml:space="preserve">）填写材料：申请材料填写内容应简明扼要，突出重点。 </w:t>
      </w:r>
    </w:p>
    <w:p w14:paraId="58C85EDA">
      <w:pPr>
        <w:ind w:firstLine="560"/>
        <w:rPr>
          <w:rFonts w:hint="eastAsia"/>
        </w:rPr>
      </w:pPr>
      <w:r>
        <w:rPr>
          <w:rFonts w:hint="eastAsia"/>
          <w:highlight w:val="none"/>
        </w:rPr>
        <w:t>（</w:t>
      </w:r>
      <w:r>
        <w:rPr>
          <w:rFonts w:hint="eastAsia"/>
          <w:highlight w:val="none"/>
          <w:lang w:eastAsia="zh-CN"/>
        </w:rPr>
        <w:t>四</w:t>
      </w:r>
      <w:r>
        <w:rPr>
          <w:rFonts w:hint="eastAsia"/>
          <w:highlight w:val="none"/>
        </w:rPr>
        <w:t>）提交材料：申请单位应在2026年</w:t>
      </w:r>
      <w:r>
        <w:rPr>
          <w:rFonts w:hint="eastAsia"/>
          <w:highlight w:val="none"/>
          <w:lang w:val="en-US" w:eastAsia="zh-CN"/>
        </w:rPr>
        <w:t>4</w:t>
      </w:r>
      <w:r>
        <w:rPr>
          <w:rFonts w:hint="eastAsia"/>
          <w:highlight w:val="none"/>
        </w:rPr>
        <w:t>月</w:t>
      </w:r>
      <w:r>
        <w:rPr>
          <w:rFonts w:hint="eastAsia"/>
          <w:highlight w:val="none"/>
          <w:lang w:val="en-US" w:eastAsia="zh-CN"/>
        </w:rPr>
        <w:t>9</w:t>
      </w:r>
      <w:r>
        <w:rPr>
          <w:rFonts w:hint="eastAsia"/>
          <w:highlight w:val="none"/>
        </w:rPr>
        <w:t>日</w:t>
      </w:r>
      <w:r>
        <w:rPr>
          <w:rFonts w:hint="eastAsia"/>
          <w:highlight w:val="none"/>
          <w:lang w:val="en-US" w:eastAsia="zh-CN"/>
        </w:rPr>
        <w:t>18</w:t>
      </w:r>
      <w:r>
        <w:rPr>
          <w:rFonts w:hint="eastAsia"/>
          <w:highlight w:val="none"/>
        </w:rPr>
        <w:t>:00以</w:t>
      </w:r>
      <w:r>
        <w:rPr>
          <w:rFonts w:hint="eastAsia"/>
        </w:rPr>
        <w:t xml:space="preserve">前将盖章的《采购项目承办申请书》及商务技术文档电子扫描件提交至：xxzxcgb@wjw.beijing.gov.cn。 </w:t>
      </w:r>
    </w:p>
    <w:p w14:paraId="62187790">
      <w:pPr>
        <w:ind w:firstLine="560"/>
      </w:pPr>
      <w:r>
        <w:rPr>
          <w:rFonts w:hint="eastAsia"/>
        </w:rPr>
        <w:t xml:space="preserve">（四）组织评审：申请单位携带盖章的《采购项目承办申请书》、《投标供应商之间应不存在控股、管理等关联关系的书面声明》、《主要股东或出资人信息表》、以及响应服务内容的商务和技术文档纸质版（以上材料装订成一册），共三份并密封，参加专家遴选评审会。北京市卫生健康大数据与政策研究中心将组织评审小组，从项目方案的科学合理性、创新性和可行性，项目团队实力和工作经验基础等方面，对申请单位的申请书进行评估，择优遴选1家项目承担单位。具体评审时间另行通知。 </w:t>
      </w:r>
    </w:p>
    <w:p w14:paraId="11ACD38B">
      <w:pPr>
        <w:ind w:firstLine="560"/>
      </w:pPr>
      <w:r>
        <w:rPr>
          <w:rFonts w:hint="eastAsia"/>
        </w:rPr>
        <w:t xml:space="preserve">（六）结果公示：北京市卫生健康委员会网站和北京市卫生健康大数据与政策研究中心网站予以公示。 </w:t>
      </w:r>
    </w:p>
    <w:p w14:paraId="107BCCEF">
      <w:pPr>
        <w:ind w:firstLine="560"/>
      </w:pPr>
      <w:r>
        <w:rPr>
          <w:rFonts w:hint="eastAsia"/>
        </w:rPr>
        <w:t xml:space="preserve">五、项目经费 </w:t>
      </w:r>
    </w:p>
    <w:p w14:paraId="7F8EE681">
      <w:pPr>
        <w:ind w:firstLine="560"/>
      </w:pPr>
      <w:r>
        <w:rPr>
          <w:rFonts w:hint="eastAsia"/>
        </w:rPr>
        <w:t>项目经费不得超过</w:t>
      </w:r>
      <w:r>
        <w:rPr>
          <w:rFonts w:hint="eastAsia"/>
          <w:lang w:val="en-US" w:eastAsia="zh-CN"/>
        </w:rPr>
        <w:t>25.7</w:t>
      </w:r>
      <w:r>
        <w:rPr>
          <w:rFonts w:hint="eastAsia"/>
        </w:rPr>
        <w:t xml:space="preserve">万元。 </w:t>
      </w:r>
    </w:p>
    <w:p w14:paraId="4355C7A0">
      <w:pPr>
        <w:ind w:firstLine="560"/>
      </w:pPr>
      <w:r>
        <w:rPr>
          <w:rFonts w:hint="eastAsia"/>
        </w:rPr>
        <w:t xml:space="preserve">六、联系方式 </w:t>
      </w:r>
    </w:p>
    <w:p w14:paraId="65D1DF1F">
      <w:pPr>
        <w:ind w:firstLine="560"/>
      </w:pPr>
      <w:r>
        <w:rPr>
          <w:rFonts w:hint="eastAsia"/>
        </w:rPr>
        <w:t xml:space="preserve">北京市卫生健康大数据与政策研究中心 </w:t>
      </w:r>
    </w:p>
    <w:p w14:paraId="2CCD41CB">
      <w:pPr>
        <w:ind w:firstLine="560"/>
        <w:rPr>
          <w:rFonts w:hint="eastAsia"/>
          <w:highlight w:val="none"/>
        </w:rPr>
      </w:pPr>
      <w:r>
        <w:rPr>
          <w:rFonts w:hint="eastAsia"/>
          <w:highlight w:val="none"/>
        </w:rPr>
        <w:t>联系人：姜冰</w:t>
      </w:r>
    </w:p>
    <w:p w14:paraId="145FB318">
      <w:pPr>
        <w:ind w:firstLine="560"/>
        <w:rPr>
          <w:rFonts w:hint="eastAsia"/>
          <w:highlight w:val="none"/>
        </w:rPr>
      </w:pPr>
      <w:r>
        <w:rPr>
          <w:rFonts w:hint="eastAsia"/>
          <w:highlight w:val="none"/>
        </w:rPr>
        <w:t>联系电话：55532285</w:t>
      </w:r>
    </w:p>
    <w:p w14:paraId="46579986">
      <w:pPr>
        <w:ind w:firstLine="560"/>
        <w:rPr>
          <w:rFonts w:hint="eastAsia"/>
        </w:rPr>
      </w:pPr>
      <w:r>
        <w:rPr>
          <w:rFonts w:hint="eastAsia"/>
        </w:rPr>
        <w:t>附件：《采购项目承办申请书》、《投标供应商之间应不存在控股、管理等关联关系的书面声明》、《主要股东或出资人信息表》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iti SC Medium">
    <w:altName w:val="宋体"/>
    <w:panose1 w:val="00000000000000000000"/>
    <w:charset w:val="86"/>
    <w:family w:val="auto"/>
    <w:pitch w:val="default"/>
    <w:sig w:usb0="00000000" w:usb1="00000000" w:usb2="00000000" w:usb3="00000000" w:csb0="203E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D7C9"/>
    <w:multiLevelType w:val="multilevel"/>
    <w:tmpl w:val="FFEED7C9"/>
    <w:lvl w:ilvl="0" w:tentative="0">
      <w:start w:val="1"/>
      <w:numFmt w:val="decimal"/>
      <w:pStyle w:val="2"/>
      <w:suff w:val="space"/>
      <w:lvlText w:val="第%1章"/>
      <w:lvlJc w:val="left"/>
      <w:pPr>
        <w:ind w:left="2977" w:firstLine="0"/>
      </w:pPr>
      <w:rPr>
        <w:rFonts w:hint="eastAsia" w:ascii="黑体" w:eastAsia="黑体"/>
        <w:color w:val="auto"/>
        <w:sz w:val="36"/>
        <w:lang w:val="en-US"/>
      </w:rPr>
    </w:lvl>
    <w:lvl w:ilvl="1" w:tentative="0">
      <w:start w:val="1"/>
      <w:numFmt w:val="decimal"/>
      <w:pStyle w:val="3"/>
      <w:suff w:val="space"/>
      <w:lvlText w:val="%1.%2"/>
      <w:lvlJc w:val="left"/>
      <w:pPr>
        <w:ind w:left="0" w:firstLine="0"/>
      </w:pPr>
      <w:rPr>
        <w:rFonts w:cs="黑体"/>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4"/>
      <w:suff w:val="space"/>
      <w:lvlText w:val="%1.%2.%3"/>
      <w:lvlJc w:val="left"/>
      <w:pPr>
        <w:ind w:left="426" w:firstLine="0"/>
      </w:pPr>
      <w:rPr>
        <w:rFonts w:hint="eastAsia" w:ascii="黑体" w:eastAsia="黑体"/>
        <w:sz w:val="28"/>
      </w:rPr>
    </w:lvl>
    <w:lvl w:ilvl="3" w:tentative="0">
      <w:start w:val="1"/>
      <w:numFmt w:val="decimal"/>
      <w:pStyle w:val="5"/>
      <w:suff w:val="space"/>
      <w:lvlText w:val="%1.%2.%3.%4"/>
      <w:lvlJc w:val="left"/>
      <w:pPr>
        <w:ind w:left="852" w:firstLine="0"/>
      </w:pPr>
      <w:rPr>
        <w:rFonts w:hint="eastAsia" w:ascii="黑体" w:eastAsia="黑体"/>
        <w:sz w:val="28"/>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FFFFC912"/>
    <w:multiLevelType w:val="multilevel"/>
    <w:tmpl w:val="FFFFC912"/>
    <w:lvl w:ilvl="0" w:tentative="0">
      <w:start w:val="1"/>
      <w:numFmt w:val="chineseCounting"/>
      <w:suff w:val="nothing"/>
      <w:lvlText w:val="第%1章 "/>
      <w:lvlJc w:val="left"/>
      <w:pPr>
        <w:ind w:left="432" w:hanging="432"/>
      </w:pPr>
      <w:rPr>
        <w:rFonts w:hint="eastAsia" w:ascii="黑体" w:hAnsi="黑体" w:eastAsia="黑体" w:cs="宋体"/>
      </w:rPr>
    </w:lvl>
    <w:lvl w:ilvl="1" w:tentative="0">
      <w:start w:val="1"/>
      <w:numFmt w:val="decimal"/>
      <w:isLgl/>
      <w:suff w:val="space"/>
      <w:lvlText w:val="%1.%2"/>
      <w:lvlJc w:val="left"/>
      <w:pPr>
        <w:ind w:left="0" w:hanging="575"/>
      </w:pPr>
      <w:rPr>
        <w:rFonts w:hint="eastAsia" w:ascii="黑体" w:hAnsi="宋体" w:eastAsia="黑体" w:cs="宋体"/>
        <w:b/>
        <w:i w:val="0"/>
        <w:sz w:val="32"/>
      </w:rPr>
    </w:lvl>
    <w:lvl w:ilvl="2" w:tentative="0">
      <w:start w:val="1"/>
      <w:numFmt w:val="decimal"/>
      <w:isLgl/>
      <w:suff w:val="space"/>
      <w:lvlText w:val="%1.%2.%3"/>
      <w:lvlJc w:val="left"/>
      <w:pPr>
        <w:ind w:left="0" w:hanging="720"/>
      </w:pPr>
      <w:rPr>
        <w:rFonts w:hint="eastAsia" w:ascii="黑体" w:hAnsi="宋体" w:eastAsia="黑体" w:cs="宋体"/>
        <w:b/>
        <w:i w:val="0"/>
        <w:sz w:val="24"/>
      </w:rPr>
    </w:lvl>
    <w:lvl w:ilvl="3" w:tentative="0">
      <w:start w:val="1"/>
      <w:numFmt w:val="decimal"/>
      <w:isLgl/>
      <w:suff w:val="space"/>
      <w:lvlText w:val="%1.%2.%3.%4"/>
      <w:lvlJc w:val="left"/>
      <w:pPr>
        <w:ind w:left="0"/>
      </w:pPr>
      <w:rPr>
        <w:rFonts w:hint="eastAsia" w:ascii="黑体" w:hAnsi="黑体" w:eastAsia="黑体"/>
        <w:b/>
        <w:bCs w:val="0"/>
        <w:i w:val="0"/>
        <w:iCs w:val="0"/>
        <w:caps w:val="0"/>
        <w:smallCaps w:val="0"/>
        <w:strike w:val="0"/>
        <w:dstrike w:val="0"/>
        <w:outline w:val="0"/>
        <w:shadow w:val="0"/>
        <w:emboss w:val="0"/>
        <w:imprint w:val="0"/>
        <w:vanish w:val="0"/>
        <w:spacing w:val="0"/>
        <w:position w:val="0"/>
        <w:sz w:val="24"/>
        <w:u w:val="none"/>
        <w:vertAlign w:val="baseline"/>
      </w:rPr>
    </w:lvl>
    <w:lvl w:ilvl="4" w:tentative="0">
      <w:start w:val="1"/>
      <w:numFmt w:val="decimal"/>
      <w:isLgl/>
      <w:suff w:val="space"/>
      <w:lvlText w:val="%1.%2.%3.%4.%5"/>
      <w:lvlJc w:val="left"/>
      <w:pPr>
        <w:ind w:left="0" w:hanging="1008"/>
      </w:pPr>
      <w:rPr>
        <w:rFonts w:hint="eastAsia"/>
        <w:lang w:bidi="zh-CN"/>
      </w:rPr>
    </w:lvl>
    <w:lvl w:ilvl="5" w:tentative="0">
      <w:start w:val="1"/>
      <w:numFmt w:val="decimal"/>
      <w:isLgl/>
      <w:suff w:val="space"/>
      <w:lvlText w:val="%1.%2.%3.%4.%5.%6"/>
      <w:lvlJc w:val="left"/>
      <w:pPr>
        <w:ind w:left="1151" w:hanging="1151"/>
      </w:pPr>
      <w:rPr>
        <w:rFonts w:hint="eastAsia" w:ascii="黑体" w:hAnsi="宋体" w:eastAsia="黑体" w:cs="宋体"/>
        <w:b/>
        <w:i w:val="0"/>
        <w:sz w:val="24"/>
      </w:rPr>
    </w:lvl>
    <w:lvl w:ilvl="6" w:tentative="0">
      <w:start w:val="1"/>
      <w:numFmt w:val="decimal"/>
      <w:isLgl/>
      <w:suff w:val="space"/>
      <w:lvlText w:val="%1.%2.%3.%4.%5.%6.%7"/>
      <w:lvlJc w:val="left"/>
      <w:pPr>
        <w:ind w:left="1296" w:hanging="1296"/>
      </w:pPr>
      <w:rPr>
        <w:rFonts w:hint="eastAsia" w:ascii="黑体" w:hAnsi="宋体" w:eastAsia="黑体" w:cs="宋体"/>
        <w:b/>
        <w:i w:val="0"/>
        <w:sz w:val="24"/>
      </w:rPr>
    </w:lvl>
    <w:lvl w:ilvl="7" w:tentative="0">
      <w:start w:val="1"/>
      <w:numFmt w:val="decimal"/>
      <w:lvlRestart w:val="2"/>
      <w:pStyle w:val="15"/>
      <w:isLgl/>
      <w:suff w:val="space"/>
      <w:lvlText w:val="图%1.%2-%8"/>
      <w:lvlJc w:val="left"/>
      <w:pPr>
        <w:ind w:left="1419" w:hanging="1419"/>
      </w:pPr>
      <w:rPr>
        <w:rFonts w:hint="eastAsia" w:ascii="仿宋" w:hAnsi="宋体" w:eastAsia="仿宋" w:cs="宋体"/>
        <w:b/>
        <w:sz w:val="21"/>
        <w:lang w:val="en-US"/>
      </w:rPr>
    </w:lvl>
    <w:lvl w:ilvl="8" w:tentative="0">
      <w:start w:val="1"/>
      <w:numFmt w:val="decimal"/>
      <w:lvlRestart w:val="2"/>
      <w:isLgl/>
      <w:suff w:val="space"/>
      <w:lvlText w:val="表%1.%2-%9"/>
      <w:lvlJc w:val="left"/>
      <w:pPr>
        <w:ind w:left="1583" w:hanging="1583"/>
      </w:pPr>
      <w:rPr>
        <w:rFonts w:hint="eastAsia" w:ascii="仿宋" w:hAnsi="宋体" w:eastAsia="仿宋" w:cs="宋体"/>
        <w:sz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EB0354"/>
    <w:rsid w:val="00085394"/>
    <w:rsid w:val="00774060"/>
    <w:rsid w:val="00802EA4"/>
    <w:rsid w:val="0B9C59AD"/>
    <w:rsid w:val="1B7A7785"/>
    <w:rsid w:val="2A1056ED"/>
    <w:rsid w:val="32823D24"/>
    <w:rsid w:val="39BE388D"/>
    <w:rsid w:val="3BF94BE7"/>
    <w:rsid w:val="3EFF5FDF"/>
    <w:rsid w:val="5F075407"/>
    <w:rsid w:val="6DCEC90F"/>
    <w:rsid w:val="789D65BD"/>
    <w:rsid w:val="7DEB8B20"/>
    <w:rsid w:val="7EDB39BB"/>
    <w:rsid w:val="7FFDE1AE"/>
    <w:rsid w:val="8FEB0354"/>
    <w:rsid w:val="99F64F98"/>
    <w:rsid w:val="EAEBAC0A"/>
    <w:rsid w:val="FBBEDBE1"/>
    <w:rsid w:val="FF6E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heme="minorBidi"/>
      <w:kern w:val="2"/>
      <w:sz w:val="28"/>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ind w:firstLineChars="0"/>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ind w:firstLineChars="0"/>
      <w:outlineLvl w:val="1"/>
    </w:pPr>
    <w:rPr>
      <w:rFonts w:ascii="Arial" w:hAnsi="Arial" w:eastAsia="黑体"/>
      <w:b/>
      <w:sz w:val="32"/>
    </w:rPr>
  </w:style>
  <w:style w:type="paragraph" w:styleId="4">
    <w:name w:val="heading 3"/>
    <w:basedOn w:val="1"/>
    <w:next w:val="1"/>
    <w:link w:val="16"/>
    <w:semiHidden/>
    <w:unhideWhenUsed/>
    <w:qFormat/>
    <w:uiPriority w:val="0"/>
    <w:pPr>
      <w:keepNext/>
      <w:keepLines/>
      <w:numPr>
        <w:ilvl w:val="2"/>
        <w:numId w:val="1"/>
      </w:numPr>
      <w:spacing w:before="260" w:after="260" w:line="415" w:lineRule="auto"/>
      <w:ind w:firstLineChars="0"/>
      <w:jc w:val="left"/>
      <w:outlineLvl w:val="2"/>
    </w:pPr>
    <w:rPr>
      <w:rFonts w:eastAsia="Heiti SC Medium"/>
      <w:b/>
      <w:bCs/>
      <w:szCs w:val="32"/>
    </w:rPr>
  </w:style>
  <w:style w:type="paragraph" w:styleId="5">
    <w:name w:val="heading 4"/>
    <w:basedOn w:val="1"/>
    <w:next w:val="1"/>
    <w:link w:val="17"/>
    <w:semiHidden/>
    <w:unhideWhenUsed/>
    <w:qFormat/>
    <w:uiPriority w:val="0"/>
    <w:pPr>
      <w:keepNext/>
      <w:keepLines/>
      <w:numPr>
        <w:ilvl w:val="3"/>
        <w:numId w:val="1"/>
      </w:numPr>
      <w:ind w:left="850" w:right="240" w:rightChars="100"/>
      <w:jc w:val="left"/>
      <w:outlineLvl w:val="3"/>
    </w:pPr>
    <w:rPr>
      <w:rFonts w:ascii="Cambria" w:hAnsi="Cambria" w:eastAsia="Heiti SC Medium" w:cs="Times New Roman"/>
      <w:bCs/>
      <w:szCs w:val="28"/>
      <w14:ligatures w14:val="standardContextual"/>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Chars="0"/>
      <w:outlineLvl w:val="4"/>
    </w:pPr>
    <w:rPr>
      <w:rFonts w:eastAsia="Heiti SC Medium"/>
      <w:b/>
    </w:rPr>
  </w:style>
  <w:style w:type="paragraph" w:styleId="7">
    <w:name w:val="heading 6"/>
    <w:basedOn w:val="1"/>
    <w:next w:val="1"/>
    <w:link w:val="14"/>
    <w:semiHidden/>
    <w:unhideWhenUsed/>
    <w:qFormat/>
    <w:uiPriority w:val="0"/>
    <w:pPr>
      <w:keepNext/>
      <w:keepLines/>
      <w:numPr>
        <w:ilvl w:val="5"/>
        <w:numId w:val="1"/>
      </w:numPr>
      <w:spacing w:before="240" w:after="64" w:line="240" w:lineRule="auto"/>
      <w:ind w:firstLineChars="0"/>
      <w:outlineLvl w:val="5"/>
    </w:pPr>
    <w:rPr>
      <w:rFonts w:ascii="仿宋" w:hAnsi="仿宋" w:eastAsia="仿宋" w:cstheme="majorBidi"/>
      <w:b/>
      <w:bCs/>
      <w:szCs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after="120"/>
    </w:pPr>
  </w:style>
  <w:style w:type="character" w:customStyle="1" w:styleId="14">
    <w:name w:val="标题 6 Char"/>
    <w:basedOn w:val="13"/>
    <w:link w:val="7"/>
    <w:autoRedefine/>
    <w:qFormat/>
    <w:uiPriority w:val="9"/>
    <w:rPr>
      <w:rFonts w:ascii="仿宋" w:hAnsi="仿宋" w:eastAsia="仿宋" w:cstheme="majorBidi"/>
      <w:b/>
      <w:bCs/>
      <w:kern w:val="2"/>
      <w:sz w:val="28"/>
      <w:szCs w:val="24"/>
    </w:rPr>
  </w:style>
  <w:style w:type="paragraph" w:customStyle="1" w:styleId="15">
    <w:name w:val="初设图片"/>
    <w:basedOn w:val="1"/>
    <w:qFormat/>
    <w:uiPriority w:val="0"/>
    <w:pPr>
      <w:numPr>
        <w:ilvl w:val="7"/>
        <w:numId w:val="2"/>
      </w:numPr>
    </w:pPr>
  </w:style>
  <w:style w:type="character" w:customStyle="1" w:styleId="16">
    <w:name w:val="标题 3 Char"/>
    <w:link w:val="4"/>
    <w:qFormat/>
    <w:uiPriority w:val="9"/>
    <w:rPr>
      <w:rFonts w:ascii="Calibri" w:hAnsi="Calibri" w:eastAsia="Heiti SC Medium"/>
      <w:b/>
      <w:bCs/>
      <w:kern w:val="2"/>
      <w:sz w:val="28"/>
      <w:szCs w:val="32"/>
    </w:rPr>
  </w:style>
  <w:style w:type="character" w:customStyle="1" w:styleId="17">
    <w:name w:val="标题 4 Char"/>
    <w:link w:val="5"/>
    <w:qFormat/>
    <w:uiPriority w:val="99"/>
    <w:rPr>
      <w:rFonts w:ascii="Cambria" w:hAnsi="Cambria" w:eastAsia="Heiti SC Medium" w:cs="Times New Roman"/>
      <w:b/>
      <w:bCs/>
      <w:kern w:val="2"/>
      <w:sz w:val="28"/>
      <w:szCs w:val="2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2410</Words>
  <Characters>2525</Characters>
  <Lines>16</Lines>
  <Paragraphs>4</Paragraphs>
  <TotalTime>10</TotalTime>
  <ScaleCrop>false</ScaleCrop>
  <LinksUpToDate>false</LinksUpToDate>
  <CharactersWithSpaces>2555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2026-02-06T20:38:00Z</dcterms:created>
  <dc:creator>berson</dc:creator>
  <cp:lastModifiedBy>陈臣</cp:lastModifiedBy>
  <dcterms:modified xsi:type="dcterms:W3CDTF">2026-04-03T02:39:43Z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BB1DD7CC0D81EF1BB6E08569C7D50456_41</vt:lpwstr>
  </property>
  <property fmtid="{D5CDD505-2E9C-101B-9397-08002B2CF9AE}" pid="4" name="KSOTemplateDocerSaveRecord">
    <vt:lpwstr>eyJoZGlkIjoiY2RjZTE0ZDRjODNjNTI4ODUxNThjMGE2ZDYwMjA5MDAiLCJ1c2VySWQiOiIxNjE2NzQxMDI2In0=</vt:lpwstr>
  </property>
</Properties>
</file>